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8C36" w14:textId="77777777" w:rsidR="00EC0C71" w:rsidRDefault="00EC0C71" w:rsidP="00EC0C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F2D0D5" w14:textId="6762B900" w:rsidR="006241D6" w:rsidRPr="006241D6" w:rsidRDefault="006241D6" w:rsidP="00EC0C71">
      <w:pPr>
        <w:spacing w:before="240"/>
        <w:rPr>
          <w:rFonts w:ascii="Times New Roman" w:hAnsi="Times New Roman" w:cs="Times New Roman"/>
          <w:b/>
          <w:bCs/>
          <w:sz w:val="32"/>
          <w:szCs w:val="32"/>
        </w:rPr>
      </w:pPr>
      <w:r w:rsidRPr="006241D6">
        <w:rPr>
          <w:rFonts w:ascii="Times New Roman" w:hAnsi="Times New Roman" w:cs="Times New Roman"/>
          <w:b/>
          <w:bCs/>
          <w:sz w:val="32"/>
          <w:szCs w:val="32"/>
        </w:rPr>
        <w:t>FAÇADE IMPROVEMENT MATCHING GRANT PROGRAM</w:t>
      </w:r>
    </w:p>
    <w:p w14:paraId="2E4DDD53" w14:textId="5B136313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The purpose of the Façade Improvement Matching Grant Program is to stimulate efforts to improve the</w:t>
      </w:r>
      <w:r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appearance of Huntertown’s business districts, and, in doing so, help stimulate the business environment of</w:t>
      </w:r>
      <w:r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Huntertown. The Program is funded and managed by the Huntertown Redevelopment Commission (RDC)</w:t>
      </w:r>
      <w:r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with final approval of the Huntertown Town Council.</w:t>
      </w:r>
    </w:p>
    <w:p w14:paraId="6F0825FE" w14:textId="75A997E5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The Program offers an opportunity to receive grant monies. All grants awarded (with the exception of the</w:t>
      </w:r>
      <w:r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Architectural Assistance Grant) require a matching dollar- for- dollar expenditure by the owner or tenant.</w:t>
      </w:r>
    </w:p>
    <w:p w14:paraId="1523C053" w14:textId="77777777" w:rsidR="00EC0C71" w:rsidRPr="00EC0C71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Grants will be considered on a first-come, first-served basis, and applications must be submitted in their</w:t>
      </w:r>
      <w:r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entirety, with all the necessary supporting documents attached before they will be considered for review.</w:t>
      </w:r>
      <w:r w:rsidR="00EC0C71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Grants are limited to one application per business during any 12-month period. The 12-month period time</w:t>
      </w:r>
      <w:r w:rsidRPr="00EC0C71">
        <w:rPr>
          <w:rFonts w:ascii="Times New Roman" w:hAnsi="Times New Roman" w:cs="Times New Roman"/>
          <w:sz w:val="25"/>
          <w:szCs w:val="25"/>
        </w:rPr>
        <w:t xml:space="preserve"> f</w:t>
      </w:r>
      <w:r w:rsidRPr="006241D6">
        <w:rPr>
          <w:rFonts w:ascii="Times New Roman" w:hAnsi="Times New Roman" w:cs="Times New Roman"/>
          <w:sz w:val="25"/>
          <w:szCs w:val="25"/>
        </w:rPr>
        <w:t xml:space="preserve">rame begins on the date of the first application. </w:t>
      </w:r>
    </w:p>
    <w:p w14:paraId="2AFC9A6F" w14:textId="66E9ED6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 xml:space="preserve">Grant awards may not exceed a total of </w:t>
      </w:r>
      <w:r w:rsidRPr="0002395D">
        <w:rPr>
          <w:rFonts w:ascii="Times New Roman" w:hAnsi="Times New Roman" w:cs="Times New Roman"/>
          <w:sz w:val="25"/>
          <w:szCs w:val="25"/>
        </w:rPr>
        <w:t>$</w:t>
      </w:r>
      <w:r w:rsidR="00EC0C71" w:rsidRPr="0002395D">
        <w:rPr>
          <w:rFonts w:ascii="Times New Roman" w:hAnsi="Times New Roman" w:cs="Times New Roman"/>
          <w:sz w:val="25"/>
          <w:szCs w:val="25"/>
        </w:rPr>
        <w:t>1</w:t>
      </w:r>
      <w:r w:rsidRPr="0002395D">
        <w:rPr>
          <w:rFonts w:ascii="Times New Roman" w:hAnsi="Times New Roman" w:cs="Times New Roman"/>
          <w:sz w:val="25"/>
          <w:szCs w:val="25"/>
        </w:rPr>
        <w:t>5,000</w:t>
      </w:r>
      <w:r w:rsidRPr="006241D6">
        <w:rPr>
          <w:rFonts w:ascii="Times New Roman" w:hAnsi="Times New Roman" w:cs="Times New Roman"/>
          <w:sz w:val="25"/>
          <w:szCs w:val="25"/>
        </w:rPr>
        <w:t xml:space="preserve"> during this 12-month period for actual construction costs and $1,000 for architectural assistance, to be awarded as follows:</w:t>
      </w:r>
    </w:p>
    <w:p w14:paraId="37BD67F2" w14:textId="790243A4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 xml:space="preserve">• </w:t>
      </w:r>
      <w:r w:rsidRPr="006241D6">
        <w:rPr>
          <w:rFonts w:ascii="Times New Roman" w:hAnsi="Times New Roman" w:cs="Times New Roman"/>
          <w:b/>
          <w:bCs/>
          <w:sz w:val="25"/>
          <w:szCs w:val="25"/>
        </w:rPr>
        <w:t xml:space="preserve">Façade Improvement: </w:t>
      </w:r>
      <w:r w:rsidRPr="006241D6">
        <w:rPr>
          <w:rFonts w:ascii="Times New Roman" w:hAnsi="Times New Roman" w:cs="Times New Roman"/>
          <w:sz w:val="25"/>
          <w:szCs w:val="25"/>
        </w:rPr>
        <w:t>Up to 50% maximum reimbursement of actual costs for eligible activities.</w:t>
      </w:r>
    </w:p>
    <w:p w14:paraId="7D6E1119" w14:textId="6ED40BEE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 xml:space="preserve">• </w:t>
      </w:r>
      <w:r w:rsidRPr="006241D6">
        <w:rPr>
          <w:rFonts w:ascii="Times New Roman" w:hAnsi="Times New Roman" w:cs="Times New Roman"/>
          <w:b/>
          <w:bCs/>
          <w:sz w:val="25"/>
          <w:szCs w:val="25"/>
        </w:rPr>
        <w:t xml:space="preserve">Awnings: </w:t>
      </w:r>
      <w:r w:rsidRPr="006241D6">
        <w:rPr>
          <w:rFonts w:ascii="Times New Roman" w:hAnsi="Times New Roman" w:cs="Times New Roman"/>
          <w:sz w:val="25"/>
          <w:szCs w:val="25"/>
        </w:rPr>
        <w:t xml:space="preserve">Up to </w:t>
      </w:r>
      <w:r w:rsidR="00EC0C71" w:rsidRPr="00EC0C71">
        <w:rPr>
          <w:rFonts w:ascii="Times New Roman" w:hAnsi="Times New Roman" w:cs="Times New Roman"/>
          <w:sz w:val="25"/>
          <w:szCs w:val="25"/>
        </w:rPr>
        <w:t>50</w:t>
      </w:r>
      <w:r w:rsidRPr="006241D6">
        <w:rPr>
          <w:rFonts w:ascii="Times New Roman" w:hAnsi="Times New Roman" w:cs="Times New Roman"/>
          <w:sz w:val="25"/>
          <w:szCs w:val="25"/>
        </w:rPr>
        <w:t>% maximum reimbursement of actual costs associated with addition,</w:t>
      </w:r>
      <w:r w:rsidR="002E07A3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improvement or replacement of awnings. Awnings shall be free from letters, words, logos, pictures</w:t>
      </w:r>
      <w:r w:rsidR="002E07A3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or numbers. A property address may be permitted on an awning, subject to RDC and Town Council</w:t>
      </w:r>
      <w:r w:rsidR="002E07A3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approval of the proposed design.</w:t>
      </w:r>
    </w:p>
    <w:p w14:paraId="67A8AAD8" w14:textId="73A19F41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 xml:space="preserve">• </w:t>
      </w:r>
      <w:r w:rsidRPr="006241D6">
        <w:rPr>
          <w:rFonts w:ascii="Times New Roman" w:hAnsi="Times New Roman" w:cs="Times New Roman"/>
          <w:b/>
          <w:bCs/>
          <w:sz w:val="25"/>
          <w:szCs w:val="25"/>
        </w:rPr>
        <w:t xml:space="preserve">Exterior Signage/Lighting: </w:t>
      </w:r>
      <w:r w:rsidRPr="006241D6">
        <w:rPr>
          <w:rFonts w:ascii="Times New Roman" w:hAnsi="Times New Roman" w:cs="Times New Roman"/>
          <w:sz w:val="25"/>
          <w:szCs w:val="25"/>
        </w:rPr>
        <w:t>Up to a 50% maximum reimbursement of actual costs associated with</w:t>
      </w:r>
      <w:r w:rsidR="002E07A3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addition, improvement or replacement of exterior signs. Signs placed inside window displays are</w:t>
      </w:r>
      <w:r w:rsidR="002E07A3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ineligible. The Sign structure becomes part of the real estate upon grant completion.</w:t>
      </w:r>
    </w:p>
    <w:p w14:paraId="6D285CD6" w14:textId="627EC325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 xml:space="preserve">• </w:t>
      </w:r>
      <w:r w:rsidRPr="006241D6">
        <w:rPr>
          <w:rFonts w:ascii="Times New Roman" w:hAnsi="Times New Roman" w:cs="Times New Roman"/>
          <w:b/>
          <w:bCs/>
          <w:sz w:val="25"/>
          <w:szCs w:val="25"/>
        </w:rPr>
        <w:t xml:space="preserve">Architectural Assistance: </w:t>
      </w:r>
      <w:r w:rsidRPr="006241D6">
        <w:rPr>
          <w:rFonts w:ascii="Times New Roman" w:hAnsi="Times New Roman" w:cs="Times New Roman"/>
          <w:sz w:val="25"/>
          <w:szCs w:val="25"/>
        </w:rPr>
        <w:t xml:space="preserve">A 100% reimbursement up to </w:t>
      </w:r>
      <w:r w:rsidRPr="00654641">
        <w:rPr>
          <w:rFonts w:ascii="Times New Roman" w:hAnsi="Times New Roman" w:cs="Times New Roman"/>
          <w:sz w:val="25"/>
          <w:szCs w:val="25"/>
        </w:rPr>
        <w:t>$1,000</w:t>
      </w:r>
      <w:r w:rsidRPr="006241D6">
        <w:rPr>
          <w:rFonts w:ascii="Times New Roman" w:hAnsi="Times New Roman" w:cs="Times New Roman"/>
          <w:sz w:val="25"/>
          <w:szCs w:val="25"/>
        </w:rPr>
        <w:t xml:space="preserve"> of actual architectural costs</w:t>
      </w:r>
      <w:r w:rsidR="002E07A3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associated with façade improvements, providing the owner utilizes the architectural plans in the</w:t>
      </w:r>
      <w:r w:rsidR="002E07A3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façade renovation. An accredited architect shall be retained for concept drawings, specifications</w:t>
      </w:r>
      <w:r w:rsidR="002E07A3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and consultation to maintain the historical character of building renovation.</w:t>
      </w:r>
    </w:p>
    <w:p w14:paraId="5AAC1F87" w14:textId="77777777" w:rsidR="00EC0C71" w:rsidRDefault="00EC0C71" w:rsidP="006241D6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48319CBC" w14:textId="77777777" w:rsidR="00EC0C71" w:rsidRDefault="00EC0C71" w:rsidP="006241D6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407E76AD" w14:textId="1842728F" w:rsidR="006241D6" w:rsidRPr="006241D6" w:rsidRDefault="006241D6" w:rsidP="006241D6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6241D6">
        <w:rPr>
          <w:rFonts w:ascii="Times New Roman" w:hAnsi="Times New Roman" w:cs="Times New Roman"/>
          <w:b/>
          <w:bCs/>
          <w:sz w:val="25"/>
          <w:szCs w:val="25"/>
        </w:rPr>
        <w:t>Eligibility Requirements:</w:t>
      </w:r>
    </w:p>
    <w:p w14:paraId="4E9BAB48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1. The property must be located within the TIF district.</w:t>
      </w:r>
    </w:p>
    <w:p w14:paraId="172C84E2" w14:textId="63DCD24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2. Applicant or co-applicant must be the building owner or contract buyer. Tenants may qualify upon</w:t>
      </w:r>
      <w:r w:rsidR="002E07A3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written consent of the building owner or contract buyer, if they have a minimum of two years</w:t>
      </w:r>
      <w:r w:rsidR="002E07A3" w:rsidRP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remaining on their lease at the time of application.</w:t>
      </w:r>
    </w:p>
    <w:p w14:paraId="732BABB5" w14:textId="77777777" w:rsidR="006241D6" w:rsidRPr="006241D6" w:rsidRDefault="006241D6" w:rsidP="006241D6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6241D6">
        <w:rPr>
          <w:rFonts w:ascii="Times New Roman" w:hAnsi="Times New Roman" w:cs="Times New Roman"/>
          <w:b/>
          <w:bCs/>
          <w:sz w:val="25"/>
          <w:szCs w:val="25"/>
        </w:rPr>
        <w:t>Eligible Activities:</w:t>
      </w:r>
    </w:p>
    <w:p w14:paraId="29EA7127" w14:textId="41870B33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1. Accentuating the existing features of the building through painting, lighting, restoration, replacement,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cleaning or other treatment of exterior surfaces;</w:t>
      </w:r>
    </w:p>
    <w:p w14:paraId="034DD237" w14:textId="572253EC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2. The addition of design elements which may have appeared on the original building or are in keeping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with the building’s character.</w:t>
      </w:r>
    </w:p>
    <w:p w14:paraId="5B8639A8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3. Repair to building exterior facades (front, rear, and side facades are eligible).</w:t>
      </w:r>
    </w:p>
    <w:p w14:paraId="475ECC48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4. Masonry and Major structural repairs.</w:t>
      </w:r>
    </w:p>
    <w:p w14:paraId="1ACFC65E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5. Cleaning of building exterior.</w:t>
      </w:r>
    </w:p>
    <w:p w14:paraId="2FF9C051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6. Exterior painting.</w:t>
      </w:r>
    </w:p>
    <w:p w14:paraId="75BED4D0" w14:textId="5552594F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7. Repairing or replacing cornices, entrances, doors, windows, and decorative detail. Window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replacements must fit the window opening and not be made smaller than the window enframement.</w:t>
      </w:r>
    </w:p>
    <w:p w14:paraId="34F7293F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8. Other repairs that may improve the aesthetic quality of the building.</w:t>
      </w:r>
    </w:p>
    <w:p w14:paraId="08F62F21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9. Façade Renovation – Must involve the general upgrading of a building’s external appearance.</w:t>
      </w:r>
    </w:p>
    <w:p w14:paraId="677AC546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10. Roofing, Gutters, and Downspouts.</w:t>
      </w:r>
    </w:p>
    <w:p w14:paraId="6BEF08C9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11. Sidewalks, Ramps, Decks, Railing, Approaches to Buildings, Driveways, and/or Steps.</w:t>
      </w:r>
    </w:p>
    <w:p w14:paraId="4C30F89C" w14:textId="77777777" w:rsidR="006241D6" w:rsidRPr="006241D6" w:rsidRDefault="006241D6" w:rsidP="006241D6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6241D6">
        <w:rPr>
          <w:rFonts w:ascii="Times New Roman" w:hAnsi="Times New Roman" w:cs="Times New Roman"/>
          <w:b/>
          <w:bCs/>
          <w:sz w:val="25"/>
          <w:szCs w:val="25"/>
        </w:rPr>
        <w:t>Ineligible Activities:</w:t>
      </w:r>
    </w:p>
    <w:p w14:paraId="0DBE609A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1. Interior improvements (including window display areas).</w:t>
      </w:r>
    </w:p>
    <w:p w14:paraId="5B8CA4F2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2. Parking Lots</w:t>
      </w:r>
    </w:p>
    <w:p w14:paraId="512867AE" w14:textId="77777777" w:rsidR="00EC0C71" w:rsidRDefault="00EC0C71" w:rsidP="006241D6">
      <w:pPr>
        <w:rPr>
          <w:rFonts w:ascii="Times New Roman" w:hAnsi="Times New Roman" w:cs="Times New Roman"/>
          <w:sz w:val="25"/>
          <w:szCs w:val="25"/>
        </w:rPr>
      </w:pPr>
    </w:p>
    <w:p w14:paraId="2427C7C7" w14:textId="77777777" w:rsidR="00EC0C71" w:rsidRDefault="00EC0C71" w:rsidP="006241D6">
      <w:pPr>
        <w:rPr>
          <w:rFonts w:ascii="Times New Roman" w:hAnsi="Times New Roman" w:cs="Times New Roman"/>
          <w:sz w:val="25"/>
          <w:szCs w:val="25"/>
        </w:rPr>
      </w:pPr>
    </w:p>
    <w:p w14:paraId="3DA0D02D" w14:textId="161E5176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3. Purchase of furnishings, equipment, or other personal property not part of the real estate.</w:t>
      </w:r>
    </w:p>
    <w:p w14:paraId="5D5F1647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4. Improvements completed or in progress prior to notification of approval.</w:t>
      </w:r>
    </w:p>
    <w:p w14:paraId="5E49AEB1" w14:textId="060A8A04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5. Repair or creation of features not compatible with original architecture, except as required by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government regulations.</w:t>
      </w:r>
    </w:p>
    <w:p w14:paraId="4BBFA413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6. Improvements to residential structures located in the commercial district.</w:t>
      </w:r>
    </w:p>
    <w:p w14:paraId="191EF2CE" w14:textId="62CC0545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7. Additions to existing structures and all Accessory Structures, whether attached or detached to the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principal building.</w:t>
      </w:r>
    </w:p>
    <w:p w14:paraId="53559004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The following steps outline the Façade Grant Program process:</w:t>
      </w:r>
    </w:p>
    <w:p w14:paraId="1482D8BA" w14:textId="77777777" w:rsidR="006241D6" w:rsidRPr="006241D6" w:rsidRDefault="006241D6" w:rsidP="006241D6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6241D6">
        <w:rPr>
          <w:rFonts w:ascii="Times New Roman" w:hAnsi="Times New Roman" w:cs="Times New Roman"/>
          <w:b/>
          <w:bCs/>
          <w:sz w:val="25"/>
          <w:szCs w:val="25"/>
        </w:rPr>
        <w:t>I. Application:</w:t>
      </w:r>
    </w:p>
    <w:p w14:paraId="7AC100ED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The following items shall be required:</w:t>
      </w:r>
    </w:p>
    <w:p w14:paraId="594D8E7D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a. Three quotes of proposed improvements by qualified independent contractors, or proof of</w:t>
      </w:r>
    </w:p>
    <w:p w14:paraId="0F603E22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request for at least three quotes.</w:t>
      </w:r>
    </w:p>
    <w:p w14:paraId="7A3C6754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b. Written description of proposed improvements, including all materials and colors.</w:t>
      </w:r>
    </w:p>
    <w:p w14:paraId="7A54FE91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c. Completed Application and Supporting Data. (blank application attached).</w:t>
      </w:r>
    </w:p>
    <w:p w14:paraId="29B70706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d. Applicants must appear in person to present the request to the Huntertown Redevelopment</w:t>
      </w:r>
    </w:p>
    <w:p w14:paraId="6D953EE1" w14:textId="55B5F83D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 xml:space="preserve">Commission and Huntertown Town </w:t>
      </w:r>
      <w:r w:rsidR="00EC0C71" w:rsidRPr="006241D6">
        <w:rPr>
          <w:rFonts w:ascii="Times New Roman" w:hAnsi="Times New Roman" w:cs="Times New Roman"/>
          <w:sz w:val="25"/>
          <w:szCs w:val="25"/>
        </w:rPr>
        <w:t>Council or</w:t>
      </w:r>
      <w:r w:rsidRPr="006241D6">
        <w:rPr>
          <w:rFonts w:ascii="Times New Roman" w:hAnsi="Times New Roman" w:cs="Times New Roman"/>
          <w:sz w:val="25"/>
          <w:szCs w:val="25"/>
        </w:rPr>
        <w:t xml:space="preserve"> designate an Authorized Representative.</w:t>
      </w:r>
    </w:p>
    <w:p w14:paraId="119A2571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e. Applicants must be on the Agenda to have their application considered.</w:t>
      </w:r>
    </w:p>
    <w:p w14:paraId="1787D9DA" w14:textId="77777777" w:rsidR="006241D6" w:rsidRPr="006241D6" w:rsidRDefault="006241D6" w:rsidP="006241D6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6241D6">
        <w:rPr>
          <w:rFonts w:ascii="Times New Roman" w:hAnsi="Times New Roman" w:cs="Times New Roman"/>
          <w:b/>
          <w:bCs/>
          <w:sz w:val="25"/>
          <w:szCs w:val="25"/>
        </w:rPr>
        <w:t>II. Final Approval:</w:t>
      </w:r>
    </w:p>
    <w:p w14:paraId="38EA7246" w14:textId="7972AB05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 xml:space="preserve">The RDC will review </w:t>
      </w:r>
      <w:r w:rsidR="00EC0C71" w:rsidRPr="006241D6">
        <w:rPr>
          <w:rFonts w:ascii="Times New Roman" w:hAnsi="Times New Roman" w:cs="Times New Roman"/>
          <w:sz w:val="25"/>
          <w:szCs w:val="25"/>
        </w:rPr>
        <w:t>applications</w:t>
      </w:r>
      <w:r w:rsidR="00EC0C71">
        <w:rPr>
          <w:rFonts w:ascii="Times New Roman" w:hAnsi="Times New Roman" w:cs="Times New Roman"/>
          <w:sz w:val="25"/>
          <w:szCs w:val="25"/>
        </w:rPr>
        <w:t>,</w:t>
      </w:r>
      <w:r w:rsidRPr="006241D6">
        <w:rPr>
          <w:rFonts w:ascii="Times New Roman" w:hAnsi="Times New Roman" w:cs="Times New Roman"/>
          <w:sz w:val="25"/>
          <w:szCs w:val="25"/>
        </w:rPr>
        <w:t xml:space="preserve"> determine if the project qualifies for assistance, determine the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amount of grant and recommend final action to the Huntertown Town Council. Awards may not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exceed 50% of the lowest and most responsive quote. Applicant may select a contractor with a higher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quote, and pay the difference.</w:t>
      </w:r>
    </w:p>
    <w:p w14:paraId="3D6E891A" w14:textId="0E7AFB1B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No work for which a grant is sought should begin until authorized by the Huntertown Redevelopment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Commission and Huntertown Town Council.</w:t>
      </w:r>
    </w:p>
    <w:p w14:paraId="5C708C2A" w14:textId="77777777" w:rsidR="00EC0C71" w:rsidRDefault="00EC0C71" w:rsidP="006241D6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683A0DE2" w14:textId="77777777" w:rsidR="00EC0C71" w:rsidRDefault="00EC0C71" w:rsidP="006241D6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4F0D78E3" w14:textId="77777777" w:rsidR="00EC0C71" w:rsidRDefault="00EC0C71" w:rsidP="006241D6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7933C4AC" w14:textId="79A9123D" w:rsidR="006241D6" w:rsidRPr="006241D6" w:rsidRDefault="006241D6" w:rsidP="006241D6">
      <w:pPr>
        <w:rPr>
          <w:rFonts w:ascii="Times New Roman" w:hAnsi="Times New Roman" w:cs="Times New Roman"/>
          <w:i/>
          <w:iCs/>
          <w:sz w:val="25"/>
          <w:szCs w:val="25"/>
        </w:rPr>
      </w:pPr>
      <w:r w:rsidRPr="006241D6">
        <w:rPr>
          <w:rFonts w:ascii="Times New Roman" w:hAnsi="Times New Roman" w:cs="Times New Roman"/>
          <w:b/>
          <w:bCs/>
          <w:sz w:val="25"/>
          <w:szCs w:val="25"/>
        </w:rPr>
        <w:t xml:space="preserve">Grantee is responsible for obtaining any permits required to do the project </w:t>
      </w:r>
      <w:r w:rsidRPr="006241D6">
        <w:rPr>
          <w:rFonts w:ascii="Times New Roman" w:hAnsi="Times New Roman" w:cs="Times New Roman"/>
          <w:sz w:val="25"/>
          <w:szCs w:val="25"/>
        </w:rPr>
        <w:t xml:space="preserve">. </w:t>
      </w:r>
      <w:r w:rsidRPr="006241D6">
        <w:rPr>
          <w:rFonts w:ascii="Times New Roman" w:hAnsi="Times New Roman" w:cs="Times New Roman"/>
          <w:i/>
          <w:iCs/>
          <w:sz w:val="25"/>
          <w:szCs w:val="25"/>
        </w:rPr>
        <w:t>Permit fees are not included</w:t>
      </w:r>
      <w:r w:rsidR="00EC0C71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i/>
          <w:iCs/>
          <w:sz w:val="25"/>
          <w:szCs w:val="25"/>
        </w:rPr>
        <w:t>as part of the grant funding.</w:t>
      </w:r>
    </w:p>
    <w:p w14:paraId="5716C264" w14:textId="024D4E8A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Once approval is granted, changes must be resubmitted in writing with an amended application and reviewed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by the RDC and Town Council.</w:t>
      </w:r>
    </w:p>
    <w:p w14:paraId="1F2C53D7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b/>
          <w:bCs/>
          <w:sz w:val="25"/>
          <w:szCs w:val="25"/>
        </w:rPr>
        <w:t>IV. Grant Payments</w:t>
      </w:r>
      <w:r w:rsidRPr="006241D6">
        <w:rPr>
          <w:rFonts w:ascii="Times New Roman" w:hAnsi="Times New Roman" w:cs="Times New Roman"/>
          <w:sz w:val="25"/>
          <w:szCs w:val="25"/>
        </w:rPr>
        <w:t>:</w:t>
      </w:r>
    </w:p>
    <w:p w14:paraId="02992CF6" w14:textId="77777777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Disbursement for grant payments will be made as follows:</w:t>
      </w:r>
    </w:p>
    <w:p w14:paraId="0B810788" w14:textId="060261DF" w:rsidR="006241D6" w:rsidRPr="006241D6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• 100% of total grant award payable upon final inspection and verification that the work has been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completed according to the application and final approval. Verification of work will be made by the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Town Manager. The Grantee must submit a copy of the invoice from the contractor, and a copy of the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>cancelled check, to the Town Manager before reimbursement is made to the grantee.</w:t>
      </w:r>
    </w:p>
    <w:p w14:paraId="02891ECE" w14:textId="77777777" w:rsidR="00EC0C71" w:rsidRDefault="006241D6" w:rsidP="006241D6">
      <w:pPr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For more information about our Facade Improvement Matching Grant Program or to submit a complete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6241D6">
        <w:rPr>
          <w:rFonts w:ascii="Times New Roman" w:hAnsi="Times New Roman" w:cs="Times New Roman"/>
          <w:sz w:val="25"/>
          <w:szCs w:val="25"/>
        </w:rPr>
        <w:t xml:space="preserve">application, please contact: </w:t>
      </w:r>
    </w:p>
    <w:p w14:paraId="1739C5BC" w14:textId="66A27C58" w:rsidR="00EC0C71" w:rsidRDefault="006241D6" w:rsidP="00EC0C71">
      <w:pPr>
        <w:spacing w:after="0"/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 xml:space="preserve">Huntertown Town Manager </w:t>
      </w:r>
    </w:p>
    <w:p w14:paraId="0A032249" w14:textId="77777777" w:rsidR="00EC0C71" w:rsidRDefault="006241D6" w:rsidP="00EC0C71">
      <w:pPr>
        <w:spacing w:after="0"/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>PO Box 95 Huntertown, IN 46748</w:t>
      </w:r>
    </w:p>
    <w:p w14:paraId="6E220DE9" w14:textId="023CD246" w:rsidR="000313DA" w:rsidRPr="00EC0C71" w:rsidRDefault="006241D6" w:rsidP="00EC0C71">
      <w:pPr>
        <w:spacing w:after="0"/>
        <w:rPr>
          <w:rFonts w:ascii="Times New Roman" w:hAnsi="Times New Roman" w:cs="Times New Roman"/>
          <w:sz w:val="25"/>
          <w:szCs w:val="25"/>
        </w:rPr>
      </w:pPr>
      <w:r w:rsidRPr="006241D6">
        <w:rPr>
          <w:rFonts w:ascii="Times New Roman" w:hAnsi="Times New Roman" w:cs="Times New Roman"/>
          <w:sz w:val="25"/>
          <w:szCs w:val="25"/>
        </w:rPr>
        <w:t xml:space="preserve"> Email:</w:t>
      </w:r>
      <w:r w:rsidR="00EC0C71">
        <w:rPr>
          <w:rFonts w:ascii="Times New Roman" w:hAnsi="Times New Roman" w:cs="Times New Roman"/>
          <w:sz w:val="25"/>
          <w:szCs w:val="25"/>
        </w:rPr>
        <w:t xml:space="preserve"> </w:t>
      </w:r>
      <w:r w:rsidRPr="00EC0C71">
        <w:rPr>
          <w:rFonts w:ascii="Times New Roman" w:hAnsi="Times New Roman" w:cs="Times New Roman"/>
          <w:sz w:val="25"/>
          <w:szCs w:val="25"/>
        </w:rPr>
        <w:t>townmanager@huntertown.in.gov</w:t>
      </w:r>
    </w:p>
    <w:sectPr w:rsidR="000313DA" w:rsidRPr="00EC0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C87F" w14:textId="77777777" w:rsidR="00757DAE" w:rsidRDefault="00757DAE" w:rsidP="006241D6">
      <w:pPr>
        <w:spacing w:after="0" w:line="240" w:lineRule="auto"/>
      </w:pPr>
      <w:r>
        <w:separator/>
      </w:r>
    </w:p>
  </w:endnote>
  <w:endnote w:type="continuationSeparator" w:id="0">
    <w:p w14:paraId="001411BF" w14:textId="77777777" w:rsidR="00757DAE" w:rsidRDefault="00757DAE" w:rsidP="0062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5EA2" w14:textId="77777777" w:rsidR="00654641" w:rsidRDefault="00654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858A" w14:textId="49711391" w:rsidR="00EC0C71" w:rsidRPr="006241D6" w:rsidRDefault="00EC0C71" w:rsidP="00EC0C71">
    <w:pPr>
      <w:rPr>
        <w:rFonts w:ascii="Times New Roman" w:hAnsi="Times New Roman" w:cs="Times New Roman"/>
        <w:sz w:val="20"/>
        <w:szCs w:val="20"/>
      </w:rPr>
    </w:pPr>
    <w:r w:rsidRPr="006241D6">
      <w:rPr>
        <w:rFonts w:ascii="Times New Roman" w:hAnsi="Times New Roman" w:cs="Times New Roman"/>
        <w:sz w:val="20"/>
        <w:szCs w:val="20"/>
      </w:rPr>
      <w:t>Façade Improvement Matching Grant Program – Created by Huntertown RDC on 11-15-21. Final approval by Huntertown Town Council on 11-15-21.</w:t>
    </w:r>
    <w:r w:rsidRPr="00EC0C71">
      <w:rPr>
        <w:rFonts w:ascii="Times New Roman" w:hAnsi="Times New Roman" w:cs="Times New Roman"/>
        <w:sz w:val="20"/>
        <w:szCs w:val="20"/>
      </w:rPr>
      <w:t xml:space="preserve"> </w:t>
    </w:r>
    <w:r w:rsidR="00654641">
      <w:rPr>
        <w:rFonts w:ascii="Times New Roman" w:hAnsi="Times New Roman" w:cs="Times New Roman"/>
        <w:sz w:val="20"/>
        <w:szCs w:val="20"/>
      </w:rPr>
      <w:t>Program updated by the Huntertown RDC on 12-15-25.</w:t>
    </w:r>
  </w:p>
  <w:p w14:paraId="232E9CA2" w14:textId="77777777" w:rsidR="00EC0C71" w:rsidRPr="00EC0C71" w:rsidRDefault="00EC0C71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0F29" w14:textId="77777777" w:rsidR="00654641" w:rsidRDefault="00654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EA9A" w14:textId="77777777" w:rsidR="00757DAE" w:rsidRDefault="00757DAE" w:rsidP="006241D6">
      <w:pPr>
        <w:spacing w:after="0" w:line="240" w:lineRule="auto"/>
      </w:pPr>
      <w:r>
        <w:separator/>
      </w:r>
    </w:p>
  </w:footnote>
  <w:footnote w:type="continuationSeparator" w:id="0">
    <w:p w14:paraId="7E3935B9" w14:textId="77777777" w:rsidR="00757DAE" w:rsidRDefault="00757DAE" w:rsidP="00624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F567" w14:textId="77777777" w:rsidR="00654641" w:rsidRDefault="00654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F830" w14:textId="77777777" w:rsidR="006241D6" w:rsidRDefault="006241D6" w:rsidP="006241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b/>
        <w:bCs/>
        <w:i/>
        <w:iCs/>
        <w:noProof/>
        <w:sz w:val="36"/>
        <w:szCs w:val="36"/>
        <w:u w:val="single"/>
      </w:rPr>
      <w:drawing>
        <wp:anchor distT="0" distB="0" distL="114300" distR="114300" simplePos="0" relativeHeight="251659264" behindDoc="0" locked="0" layoutInCell="1" allowOverlap="1" wp14:anchorId="52E32D19" wp14:editId="44FD2C50">
          <wp:simplePos x="0" y="0"/>
          <wp:positionH relativeFrom="column">
            <wp:posOffset>-533400</wp:posOffset>
          </wp:positionH>
          <wp:positionV relativeFrom="paragraph">
            <wp:posOffset>-180975</wp:posOffset>
          </wp:positionV>
          <wp:extent cx="1426845" cy="1426845"/>
          <wp:effectExtent l="0" t="0" r="1905" b="1905"/>
          <wp:wrapNone/>
          <wp:docPr id="1294218612" name="Picture 2" descr="A logo with a train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218612" name="Picture 2" descr="A logo with a train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57C4">
      <w:rPr>
        <w:rStyle w:val="normaltextrun"/>
        <w:rFonts w:ascii="Calibri" w:eastAsiaTheme="majorEastAsia" w:hAnsi="Calibri" w:cs="Calibri"/>
        <w:b/>
        <w:bCs/>
        <w:i/>
        <w:iCs/>
        <w:sz w:val="36"/>
        <w:szCs w:val="36"/>
        <w:u w:val="single"/>
      </w:rPr>
      <w:t>Huntertown Redevelopment Commission</w:t>
    </w:r>
  </w:p>
  <w:p w14:paraId="38D9F5B9" w14:textId="77777777" w:rsidR="006241D6" w:rsidRDefault="006241D6" w:rsidP="006241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sz w:val="22"/>
        <w:szCs w:val="22"/>
      </w:rPr>
      <w:t>15617 Lima Road * PO Box 95 * Huntertown, IN 46748</w:t>
    </w:r>
  </w:p>
  <w:p w14:paraId="1CB47B19" w14:textId="77777777" w:rsidR="006241D6" w:rsidRDefault="006241D6" w:rsidP="006241D6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sz w:val="22"/>
        <w:szCs w:val="22"/>
      </w:rPr>
      <w:t xml:space="preserve">Phone (260)637-5058 * </w:t>
    </w:r>
    <w:hyperlink r:id="rId2" w:tgtFrame="_blank" w:history="1">
      <w:r>
        <w:rPr>
          <w:rStyle w:val="normaltextrun"/>
          <w:rFonts w:ascii="Calibri" w:eastAsiaTheme="majorEastAsia" w:hAnsi="Calibri" w:cs="Calibri"/>
          <w:color w:val="0000FF"/>
          <w:sz w:val="22"/>
          <w:szCs w:val="22"/>
          <w:u w:val="single"/>
        </w:rPr>
        <w:t>www.huntertown.org</w:t>
      </w:r>
    </w:hyperlink>
    <w:r>
      <w:rPr>
        <w:rStyle w:val="normaltextrun"/>
        <w:rFonts w:ascii="Calibri" w:eastAsiaTheme="majorEastAsia" w:hAnsi="Calibri" w:cs="Calibri"/>
        <w:sz w:val="22"/>
        <w:szCs w:val="22"/>
      </w:rPr>
      <w:t xml:space="preserve"> * Fax (260)637-5891</w:t>
    </w:r>
  </w:p>
  <w:p w14:paraId="768AB060" w14:textId="77777777" w:rsidR="006241D6" w:rsidRDefault="006241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53F1" w14:textId="77777777" w:rsidR="00654641" w:rsidRDefault="006546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D6"/>
    <w:rsid w:val="0002395D"/>
    <w:rsid w:val="000313DA"/>
    <w:rsid w:val="00197FA5"/>
    <w:rsid w:val="002E07A3"/>
    <w:rsid w:val="00423E4D"/>
    <w:rsid w:val="006241D6"/>
    <w:rsid w:val="00654641"/>
    <w:rsid w:val="00757DAE"/>
    <w:rsid w:val="00A16AFA"/>
    <w:rsid w:val="00BB479F"/>
    <w:rsid w:val="00D239C4"/>
    <w:rsid w:val="00E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E944C"/>
  <w15:chartTrackingRefBased/>
  <w15:docId w15:val="{AF2009E6-6404-4DD4-8827-0A977A46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1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1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1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4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1D6"/>
  </w:style>
  <w:style w:type="paragraph" w:styleId="Footer">
    <w:name w:val="footer"/>
    <w:basedOn w:val="Normal"/>
    <w:link w:val="FooterChar"/>
    <w:uiPriority w:val="99"/>
    <w:unhideWhenUsed/>
    <w:rsid w:val="00624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1D6"/>
  </w:style>
  <w:style w:type="paragraph" w:customStyle="1" w:styleId="paragraph">
    <w:name w:val="paragraph"/>
    <w:basedOn w:val="Normal"/>
    <w:rsid w:val="0062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2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ntertown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C9A05F562C844B40FB856207C54C8" ma:contentTypeVersion="18" ma:contentTypeDescription="Create a new document." ma:contentTypeScope="" ma:versionID="b0d69e1123b10fc81c6e2e53b334f5b2">
  <xsd:schema xmlns:xsd="http://www.w3.org/2001/XMLSchema" xmlns:xs="http://www.w3.org/2001/XMLSchema" xmlns:p="http://schemas.microsoft.com/office/2006/metadata/properties" xmlns:ns2="0f329b79-603c-46f8-b205-540a2707d0ad" xmlns:ns3="95ecfbbe-a8ba-43d7-9ab3-85e4d84d4bf3" targetNamespace="http://schemas.microsoft.com/office/2006/metadata/properties" ma:root="true" ma:fieldsID="45221c6d0ed9361c87c42e957a03d562" ns2:_="" ns3:_="">
    <xsd:import namespace="0f329b79-603c-46f8-b205-540a2707d0ad"/>
    <xsd:import namespace="95ecfbbe-a8ba-43d7-9ab3-85e4d84d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29b79-603c-46f8-b205-540a2707d0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6216ec-b196-48df-b954-d3c598c47113}" ma:internalName="TaxCatchAll" ma:showField="CatchAllData" ma:web="0f329b79-603c-46f8-b205-540a2707d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cfbbe-a8ba-43d7-9ab3-85e4d84d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6d488b-d371-46b4-9511-01aa624d3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cfbbe-a8ba-43d7-9ab3-85e4d84d4bf3">
      <Terms xmlns="http://schemas.microsoft.com/office/infopath/2007/PartnerControls"/>
    </lcf76f155ced4ddcb4097134ff3c332f>
    <TaxCatchAll xmlns="0f329b79-603c-46f8-b205-540a2707d0ad" xsi:nil="true"/>
  </documentManagement>
</p:properties>
</file>

<file path=customXml/itemProps1.xml><?xml version="1.0" encoding="utf-8"?>
<ds:datastoreItem xmlns:ds="http://schemas.openxmlformats.org/officeDocument/2006/customXml" ds:itemID="{55A7587A-42F8-4AF1-9D4A-688982E7EF65}"/>
</file>

<file path=customXml/itemProps2.xml><?xml version="1.0" encoding="utf-8"?>
<ds:datastoreItem xmlns:ds="http://schemas.openxmlformats.org/officeDocument/2006/customXml" ds:itemID="{52486E4D-0E78-4658-9BAB-6841849AA9CC}"/>
</file>

<file path=customXml/itemProps3.xml><?xml version="1.0" encoding="utf-8"?>
<ds:datastoreItem xmlns:ds="http://schemas.openxmlformats.org/officeDocument/2006/customXml" ds:itemID="{929F2FE2-3FC0-4BAF-B3A3-15E88927F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1021</Words>
  <Characters>5158</Characters>
  <Application>Microsoft Office Word</Application>
  <DocSecurity>0</DocSecurity>
  <Lines>128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Walker</dc:creator>
  <cp:keywords/>
  <dc:description/>
  <cp:lastModifiedBy>Hannah Walker</cp:lastModifiedBy>
  <cp:revision>4</cp:revision>
  <dcterms:created xsi:type="dcterms:W3CDTF">2025-11-14T17:50:00Z</dcterms:created>
  <dcterms:modified xsi:type="dcterms:W3CDTF">2025-12-22T17:45:00Z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0x010100A2DC9A05F562C844B40FB856207C54C8</vt:lpwstr>
  </property>
</Properties>
</file>